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6521" w:rsidRDefault="00816521">
      <w:pPr>
        <w:spacing w:line="280" w:lineRule="auto"/>
        <w:jc w:val="center"/>
        <w:rPr>
          <w:rFonts w:ascii="Arial" w:hAnsi="Arial" w:cs="Arial"/>
          <w:b/>
          <w:bCs/>
          <w:sz w:val="32"/>
          <w:szCs w:val="32"/>
          <w:u w:val="single"/>
        </w:rPr>
      </w:pPr>
      <w:r>
        <w:rPr>
          <w:rFonts w:ascii="Arial" w:hAnsi="Arial" w:cs="Arial"/>
          <w:b/>
          <w:bCs/>
          <w:sz w:val="32"/>
          <w:szCs w:val="32"/>
          <w:u w:val="single"/>
          <w:lang w:val="sl-SI"/>
        </w:rPr>
        <w:t>Natovarjanje/raztovarjanje izven klančine – standard vozila popolnoma pripravljenega za natovarjanje/raztovarjanje</w:t>
      </w:r>
    </w:p>
    <w:p w:rsidR="00816521" w:rsidRDefault="00816521">
      <w:pPr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</w:p>
    <w:p w:rsidR="00816521" w:rsidRDefault="00816521">
      <w:pPr>
        <w:spacing w:line="28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lang w:val="sl-SI"/>
        </w:rPr>
        <w:t>NAPAČNO: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val="sl-SI"/>
        </w:rPr>
        <w:t>Vozilo nima z zagozdo zavarovanega zadnjega kolesa, nima odstranjenih elementov, ki pritrjujejo tovor, prostor okrog vozila ni označen s prometnimi stožci z napisom “POZOR!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val="sl-SI"/>
        </w:rPr>
        <w:t xml:space="preserve">V tomto prostoru probíhá nakládka/vykládka“ (glej sliko) – vozila, ki ne izpolnjuje navedenih zahtevkov, </w:t>
      </w:r>
      <w:r>
        <w:rPr>
          <w:rFonts w:ascii="Arial" w:hAnsi="Arial" w:cs="Arial"/>
          <w:b/>
          <w:bCs/>
          <w:sz w:val="24"/>
          <w:szCs w:val="24"/>
          <w:u w:val="single"/>
          <w:lang w:val="sl-SI"/>
        </w:rPr>
        <w:t>se ne sme natovarjati/raztovarjati</w:t>
      </w:r>
      <w:r>
        <w:rPr>
          <w:rFonts w:ascii="Arial" w:hAnsi="Arial" w:cs="Arial"/>
          <w:sz w:val="24"/>
          <w:szCs w:val="24"/>
          <w:lang w:val="sl-SI"/>
        </w:rPr>
        <w:t>.</w:t>
      </w:r>
    </w:p>
    <w:p w:rsidR="00816521" w:rsidRDefault="00816521">
      <w:pPr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</w:p>
    <w:p w:rsidR="00816521" w:rsidRDefault="00816521">
      <w:pPr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</w:p>
    <w:p w:rsidR="00816521" w:rsidRDefault="00A407AA">
      <w:pPr>
        <w:rPr>
          <w:rFonts w:ascii="Times New Roman" w:hAnsi="Times New Roman" w:cs="Times New Roman"/>
        </w:rPr>
      </w:pPr>
      <w:r w:rsidRPr="00A407AA">
        <w:rPr>
          <w:noProof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76.2pt;margin-top:2.35pt;width:181.4pt;height:49.45pt;z-index:251653632" stroked="f" strokecolor="white" strokeweight=".25pt">
            <v:fill opacity="0"/>
            <v:textbox>
              <w:txbxContent>
                <w:p w:rsidR="00816521" w:rsidRDefault="00816521">
                  <w:pPr>
                    <w:ind w:firstLine="708"/>
                    <w:rPr>
                      <w:b/>
                      <w:bCs/>
                      <w:color w:val="FF0000"/>
                      <w:sz w:val="48"/>
                      <w:szCs w:val="48"/>
                    </w:rPr>
                  </w:pPr>
                  <w:r>
                    <w:rPr>
                      <w:b/>
                      <w:bCs/>
                      <w:color w:val="FF0000"/>
                      <w:sz w:val="48"/>
                      <w:szCs w:val="48"/>
                    </w:rPr>
                    <w:t>NE TAKO!!!</w:t>
                  </w:r>
                </w:p>
              </w:txbxContent>
            </v:textbox>
          </v:shape>
        </w:pict>
      </w:r>
      <w:r w:rsidR="002225F1">
        <w:rPr>
          <w:rFonts w:ascii="Times New Roman" w:hAnsi="Times New Roman" w:cs="Times New Roman"/>
          <w:noProof/>
          <w:lang w:val="en-US"/>
        </w:rPr>
        <w:drawing>
          <wp:inline distT="0" distB="0" distL="0" distR="0">
            <wp:extent cx="5762625" cy="4314825"/>
            <wp:effectExtent l="1905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521" w:rsidRDefault="00816521">
      <w:pPr>
        <w:rPr>
          <w:rFonts w:ascii="Times New Roman" w:hAnsi="Times New Roman" w:cs="Times New Roman"/>
        </w:rPr>
      </w:pPr>
    </w:p>
    <w:p w:rsidR="00816521" w:rsidRDefault="00816521">
      <w:pPr>
        <w:rPr>
          <w:rFonts w:ascii="Times New Roman" w:hAnsi="Times New Roman" w:cs="Times New Roman"/>
        </w:rPr>
      </w:pPr>
    </w:p>
    <w:p w:rsidR="00816521" w:rsidRDefault="00816521">
      <w:pPr>
        <w:rPr>
          <w:rFonts w:ascii="Times New Roman" w:hAnsi="Times New Roman" w:cs="Times New Roman"/>
        </w:rPr>
      </w:pPr>
    </w:p>
    <w:p w:rsidR="00816521" w:rsidRDefault="00816521">
      <w:pPr>
        <w:rPr>
          <w:rFonts w:ascii="Times New Roman" w:hAnsi="Times New Roman" w:cs="Times New Roman"/>
        </w:rPr>
      </w:pPr>
    </w:p>
    <w:p w:rsidR="00816521" w:rsidRDefault="00816521">
      <w:pPr>
        <w:rPr>
          <w:rFonts w:ascii="Times New Roman" w:hAnsi="Times New Roman" w:cs="Times New Roman"/>
        </w:rPr>
      </w:pPr>
    </w:p>
    <w:p w:rsidR="00816521" w:rsidRDefault="00816521">
      <w:pPr>
        <w:spacing w:line="280" w:lineRule="auto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lang w:val="sl-SI"/>
        </w:rPr>
        <w:lastRenderedPageBreak/>
        <w:t>PRAVILNO: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val="sl-SI"/>
        </w:rPr>
        <w:t>Vozilo ima zavarovano zadnje kolo z varovalno zagozdo, ponjava je sneta, vsi elementi, ki varujejo tovor med prevozom, in drugi elementi opreme tovornjaka so odstranjeni, vsi odpadki (npr. odlomki palet) so pospravljeni.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val="sl-SI"/>
        </w:rPr>
        <w:t>Prostor okrog vozila je označen s stožci z napisom “POZOR!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val="sl-SI"/>
        </w:rPr>
        <w:t xml:space="preserve">V tomto prostoru probíhá nakládka/vykládka“ (glej sliko) – </w:t>
      </w:r>
      <w:r>
        <w:rPr>
          <w:rFonts w:ascii="Arial" w:hAnsi="Arial" w:cs="Arial"/>
          <w:b/>
          <w:bCs/>
          <w:sz w:val="24"/>
          <w:szCs w:val="24"/>
          <w:lang w:val="sl-SI"/>
        </w:rPr>
        <w:t>vozilo, ki izpolnjuje navedene zahtevke, se sme natovarjati/raztovarjati.</w:t>
      </w:r>
    </w:p>
    <w:p w:rsidR="00816521" w:rsidRDefault="00816521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:rsidR="00816521" w:rsidRDefault="00A407AA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A407AA">
        <w:rPr>
          <w:noProof/>
          <w:lang w:eastAsia="cs-CZ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239.85pt;margin-top:111.45pt;width:75.7pt;height:22.15pt;z-index:251661824" o:connectortype="straight">
            <v:stroke endarrow="block"/>
          </v:shape>
        </w:pict>
      </w:r>
      <w:r w:rsidRPr="00A407AA">
        <w:rPr>
          <w:noProof/>
          <w:lang w:eastAsia="cs-CZ"/>
        </w:rPr>
        <w:pict>
          <v:shape id="_x0000_s1028" type="#_x0000_t202" style="position:absolute;left:0;text-align:left;margin-left:96.5pt;margin-top:87.75pt;width:143.35pt;height:39.15pt;z-index:251660800">
            <v:textbox>
              <w:txbxContent>
                <w:p w:rsidR="00816521" w:rsidRDefault="00816521">
                  <w:r>
                    <w:t>Odstranjeni elementi, ki varujejo tovor</w:t>
                  </w:r>
                </w:p>
              </w:txbxContent>
            </v:textbox>
          </v:shape>
        </w:pict>
      </w:r>
      <w:r w:rsidRPr="00A407AA">
        <w:rPr>
          <w:noProof/>
          <w:lang w:eastAsia="cs-CZ"/>
        </w:rPr>
        <w:pict>
          <v:shape id="_x0000_s1029" type="#_x0000_t32" style="position:absolute;left:0;text-align:left;margin-left:341.35pt;margin-top:187.45pt;width:0;height:27.35pt;flip:y;z-index:251659776" o:connectortype="straight">
            <v:stroke endarrow="block"/>
          </v:shape>
        </w:pict>
      </w:r>
      <w:r w:rsidRPr="00A407AA">
        <w:rPr>
          <w:noProof/>
          <w:lang w:eastAsia="cs-CZ"/>
        </w:rPr>
        <w:pict>
          <v:shape id="_x0000_s1030" type="#_x0000_t202" style="position:absolute;left:0;text-align:left;margin-left:316.05pt;margin-top:214.95pt;width:80.85pt;height:138.6pt;z-index:251658752">
            <v:textbox style="mso-fit-shape-to-text:t">
              <w:txbxContent>
                <w:p w:rsidR="00816521" w:rsidRDefault="00816521">
                  <w:r>
                    <w:t>Kolo zavarovano z zagozdo</w:t>
                  </w:r>
                </w:p>
              </w:txbxContent>
            </v:textbox>
          </v:shape>
        </w:pict>
      </w:r>
      <w:r w:rsidRPr="00A407AA">
        <w:rPr>
          <w:noProof/>
          <w:lang w:eastAsia="cs-CZ"/>
        </w:rPr>
        <w:pict>
          <v:shape id="_x0000_s1031" type="#_x0000_t32" style="position:absolute;left:0;text-align:left;margin-left:418.1pt;margin-top:171.6pt;width:0;height:127.8pt;flip:y;z-index:251657728" o:connectortype="straight">
            <v:stroke endarrow="block"/>
          </v:shape>
        </w:pict>
      </w:r>
      <w:r w:rsidRPr="00A407AA">
        <w:rPr>
          <w:noProof/>
          <w:lang w:eastAsia="cs-CZ"/>
        </w:rPr>
        <w:pict>
          <v:shape id="_x0000_s1032" type="#_x0000_t32" style="position:absolute;left:0;text-align:left;margin-left:101.65pt;margin-top:315.6pt;width:249.6pt;height:0;flip:x;z-index:251656704" o:connectortype="straight">
            <v:stroke endarrow="block"/>
          </v:shape>
        </w:pict>
      </w:r>
      <w:r w:rsidRPr="00A407AA">
        <w:rPr>
          <w:noProof/>
          <w:lang w:eastAsia="cs-CZ"/>
        </w:rPr>
        <w:pict>
          <v:shape id="_x0000_s1033" type="#_x0000_t202" style="position:absolute;left:0;text-align:left;margin-left:351.45pt;margin-top:299.5pt;width:100.4pt;height:138.9pt;z-index:251655680">
            <v:textbox style="mso-fit-shape-to-text:t">
              <w:txbxContent>
                <w:p w:rsidR="00816521" w:rsidRDefault="00816521">
                  <w:r>
                    <w:t>Označitev s stožci</w:t>
                  </w:r>
                </w:p>
              </w:txbxContent>
            </v:textbox>
          </v:shape>
        </w:pict>
      </w:r>
      <w:r w:rsidRPr="00A407AA">
        <w:rPr>
          <w:noProof/>
          <w:lang w:eastAsia="cs-CZ"/>
        </w:rPr>
        <w:pict>
          <v:shape id="_x0000_s1034" type="#_x0000_t202" style="position:absolute;left:0;text-align:left;margin-left:278.75pt;margin-top:.7pt;width:181.4pt;height:49.45pt;z-index:251654656" stroked="f" strokecolor="white" strokeweight=".25pt">
            <v:fill opacity="0"/>
            <v:textbox>
              <w:txbxContent>
                <w:p w:rsidR="00816521" w:rsidRDefault="00816521">
                  <w:pPr>
                    <w:ind w:firstLine="708"/>
                    <w:rPr>
                      <w:b/>
                      <w:bCs/>
                      <w:color w:val="FF0000"/>
                      <w:sz w:val="48"/>
                      <w:szCs w:val="48"/>
                    </w:rPr>
                  </w:pPr>
                  <w:r>
                    <w:rPr>
                      <w:b/>
                      <w:bCs/>
                      <w:color w:val="FF0000"/>
                      <w:sz w:val="48"/>
                      <w:szCs w:val="48"/>
                    </w:rPr>
                    <w:t>TAKO!!!</w:t>
                  </w:r>
                </w:p>
              </w:txbxContent>
            </v:textbox>
          </v:shape>
        </w:pict>
      </w:r>
      <w:r w:rsidR="002225F1">
        <w:rPr>
          <w:rFonts w:ascii="Arial" w:hAnsi="Arial" w:cs="Arial"/>
          <w:b/>
          <w:bCs/>
          <w:noProof/>
          <w:sz w:val="24"/>
          <w:szCs w:val="24"/>
          <w:u w:val="single"/>
          <w:lang w:val="en-US"/>
        </w:rPr>
        <w:drawing>
          <wp:inline distT="0" distB="0" distL="0" distR="0">
            <wp:extent cx="5800725" cy="4324350"/>
            <wp:effectExtent l="19050" t="0" r="9525" b="0"/>
            <wp:docPr id="2" name="obráze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>
                      <a:picLocks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521" w:rsidRDefault="00816521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sectPr w:rsidR="00816521" w:rsidSect="00816521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6521" w:rsidRDefault="0081652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endnote>
  <w:endnote w:type="continuationSeparator" w:id="0">
    <w:p w:rsidR="00816521" w:rsidRDefault="0081652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6521" w:rsidRDefault="00816521">
    <w:pPr>
      <w:pStyle w:val="Zpat"/>
      <w:rPr>
        <w:rFonts w:ascii="Times New Roman" w:hAnsi="Times New Roman" w:cs="Times New Roman"/>
      </w:rPr>
    </w:pPr>
    <w:r>
      <w:t>I OR OS 03 12 Dopravní řád_Příloha č. 5B</w:t>
    </w:r>
    <w:r>
      <w:tab/>
      <w:t xml:space="preserve">                    </w:t>
    </w:r>
    <w:r>
      <w:tab/>
    </w:r>
    <w:r>
      <w:rPr>
        <w:rFonts w:ascii="Times New Roman" w:hAnsi="Times New Roman" w:cs="Times New Roman"/>
      </w:rPr>
      <w:t xml:space="preserve">Strana </w:t>
    </w:r>
    <w:r w:rsidR="00A407AA">
      <w:rPr>
        <w:rFonts w:ascii="Times New Roman" w:hAnsi="Times New Roman" w:cs="Times New Roman"/>
      </w:rPr>
      <w:fldChar w:fldCharType="begin"/>
    </w:r>
    <w:r>
      <w:rPr>
        <w:rFonts w:ascii="Times New Roman" w:hAnsi="Times New Roman" w:cs="Times New Roman"/>
      </w:rPr>
      <w:instrText xml:space="preserve"> PAGE </w:instrText>
    </w:r>
    <w:r w:rsidR="00A407AA">
      <w:rPr>
        <w:rFonts w:ascii="Times New Roman" w:hAnsi="Times New Roman" w:cs="Times New Roman"/>
      </w:rPr>
      <w:fldChar w:fldCharType="separate"/>
    </w:r>
    <w:r w:rsidR="002225F1">
      <w:rPr>
        <w:rFonts w:ascii="Times New Roman" w:hAnsi="Times New Roman" w:cs="Times New Roman"/>
        <w:noProof/>
      </w:rPr>
      <w:t>1</w:t>
    </w:r>
    <w:r w:rsidR="00A407AA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</w:rPr>
      <w:t xml:space="preserve"> z </w:t>
    </w:r>
    <w:r w:rsidR="00A407AA">
      <w:rPr>
        <w:rFonts w:ascii="Times New Roman" w:hAnsi="Times New Roman" w:cs="Times New Roman"/>
      </w:rPr>
      <w:fldChar w:fldCharType="begin"/>
    </w:r>
    <w:r>
      <w:rPr>
        <w:rFonts w:ascii="Times New Roman" w:hAnsi="Times New Roman" w:cs="Times New Roman"/>
      </w:rPr>
      <w:instrText xml:space="preserve"> NUMPAGES </w:instrText>
    </w:r>
    <w:r w:rsidR="00A407AA">
      <w:rPr>
        <w:rFonts w:ascii="Times New Roman" w:hAnsi="Times New Roman" w:cs="Times New Roman"/>
      </w:rPr>
      <w:fldChar w:fldCharType="separate"/>
    </w:r>
    <w:r w:rsidR="002225F1">
      <w:rPr>
        <w:rFonts w:ascii="Times New Roman" w:hAnsi="Times New Roman" w:cs="Times New Roman"/>
        <w:noProof/>
      </w:rPr>
      <w:t>2</w:t>
    </w:r>
    <w:r w:rsidR="00A407AA">
      <w:rPr>
        <w:rFonts w:ascii="Times New Roman" w:hAnsi="Times New Roman" w:cs="Times New Roman"/>
      </w:rPr>
      <w:fldChar w:fldCharType="end"/>
    </w:r>
  </w:p>
  <w:p w:rsidR="00816521" w:rsidRDefault="00816521">
    <w:pPr>
      <w:pStyle w:val="Zpat"/>
      <w:rPr>
        <w:rFonts w:ascii="Times New Roman" w:hAnsi="Times New Roman" w:cs="Times New Roman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6521" w:rsidRDefault="0081652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footnote>
  <w:footnote w:type="continuationSeparator" w:id="0">
    <w:p w:rsidR="00816521" w:rsidRDefault="0081652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FELayout/>
  </w:compat>
  <w:rsids>
    <w:rsidRoot w:val="00816521"/>
    <w:rsid w:val="002225F1"/>
    <w:rsid w:val="00662F6C"/>
    <w:rsid w:val="00816521"/>
    <w:rsid w:val="00A407AA"/>
    <w:rsid w:val="00FD6E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8"/>
    <o:shapelayout v:ext="edit">
      <o:idmap v:ext="edit" data="1"/>
      <o:rules v:ext="edit">
        <o:r id="V:Rule5" type="connector" idref="#_x0000_s1027"/>
        <o:r id="V:Rule6" type="connector" idref="#_x0000_s1031"/>
        <o:r id="V:Rule7" type="connector" idref="#_x0000_s1029"/>
        <o:r id="V:Rule8" type="connector" idref="#_x0000_s103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62F6C"/>
    <w:pPr>
      <w:spacing w:after="200" w:line="276" w:lineRule="auto"/>
    </w:pPr>
    <w:rPr>
      <w:rFonts w:ascii="Calibri" w:hAnsi="Calibri" w:cs="Calibri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rsid w:val="00662F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662F6C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rsid w:val="00662F6C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62F6C"/>
    <w:rPr>
      <w:rFonts w:ascii="Times New Roman" w:hAnsi="Times New Roman" w:cs="Times New Roman"/>
    </w:rPr>
  </w:style>
  <w:style w:type="paragraph" w:styleId="Zpat">
    <w:name w:val="footer"/>
    <w:basedOn w:val="Normln"/>
    <w:link w:val="ZpatChar"/>
    <w:uiPriority w:val="99"/>
    <w:rsid w:val="00662F6C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62F6C"/>
    <w:rPr>
      <w:rFonts w:ascii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131</Words>
  <Characters>753</Characters>
  <Application>Microsoft Office Word</Application>
  <DocSecurity>0</DocSecurity>
  <Lines>6</Lines>
  <Paragraphs>1</Paragraphs>
  <ScaleCrop>false</ScaleCrop>
  <Company>PPG Industries, Inc.</Company>
  <LinksUpToDate>false</LinksUpToDate>
  <CharactersWithSpaces>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Nakládka/vykládka mimo rampu – standard vozidla plně připraveného k nakládce/vykládce</dc:title>
  <dc:creator>translatezone.eu</dc:creator>
  <cp:lastModifiedBy>Vera BILKOVA (s08905)</cp:lastModifiedBy>
  <cp:revision>2</cp:revision>
  <cp:lastPrinted>2012-07-12T06:30:00Z</cp:lastPrinted>
  <dcterms:created xsi:type="dcterms:W3CDTF">2012-07-12T06:30:00Z</dcterms:created>
  <dcterms:modified xsi:type="dcterms:W3CDTF">2012-07-12T06:30:00Z</dcterms:modified>
</cp:coreProperties>
</file>